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Торакальная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19:58 МСК · База обновлена: 22.08.2026, 19:24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Торакальная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80 лет госпитализирована в отделение торакальной хирургии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2 степени по шкале mMRC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При профилактической флюорографии в верхней доле правого легкого выявлено округлое затенение. Обследована в ПТД по месту жительства, данных за активный туберкулез органов дыхания не получено. На МСКТ ОГК в правом легком на границе С1 и С3 выявлен бугристый мультицентричный инфильтрат размерами 28х14х14 мм. В С4 правого легкого, в С10 левого – участок гиповентиляции за счет фиброза. Пневматизация легочной паренхимы мозаична, признаки гравитационного стаза. Госпитализирована в отделение торакальной хирургии, в связи с подозрением на злокачественную опухоль легкого.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в анамнезе бронхиальная астма, ремиссия, изредка использует ингалятор Вентолин;</w:t>
      </w:r>
    </w:p>
    <w:p>
      <w:pPr>
        <w:spacing w:after="58"/>
      </w:pPr>
      <w:r>
        <w:rPr>
          <w:b w:val="0"/>
          <w:i w:val="0"/>
        </w:rPr>
        <w:t>* страдает ГБ 2 ст., прописанные препараты принимает не регулярно;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158 см, масса тела 71 кг. Кожный покров обычной окраски и влажности. Периферические лимфатические узлы не увеличены. Дыхание жесткое, проводится билатерально во всех отделы, хрипов нет. ЧДД 16 в 1 мин. Тоны сердца ясные, ЧСС 80 в 1 мин, АД 140/90 мм рт. ст. Живот мягкий, безболезненный. Печень и селезенка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регионарных лимфатических узлов (N) и выявления отдаленных метастазов (M)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МСКТ органов грудной клетки и брюшной полости с в/в болюсным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остеосцинтиграфию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ПЭТ/КТ-исследование всего тела с 18F-ФДГ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ПЭТ/КТ-исследование всего тела с 18F-ФДГ</w:t>
      </w:r>
    </w:p>
    <w:p>
      <w:pPr>
        <w:spacing w:after="58"/>
      </w:pPr>
      <w:r>
        <w:rPr>
          <w:b w:val="0"/>
          <w:i w:val="0"/>
        </w:rPr>
        <w:t>Для оценки регионарных лимфатических узлов (N) и выявления отдаленных метастазов (M) рекомендуется проведение совмещенного ПЭТ/КТ-исследования всего тела. Совмещенное ПЭТ/КТ 18F-ФДГ в целом является более эффективным исследованием в сравнении с УЗИ, КТ и МРТ в выявлении распространенности опухолевого процесса, в том числе в выявлении метастазов в лимфатических узлах, солидных органах, костях и костном мозге, серозных оболочках.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Пациентам с подозрением на рак легкого рекомендуется проведение бронхологического исследования с целью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оценки функциональной операбельности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профилактического осмотра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оценки проходимости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оценки локализации, распространенности опухолевого процесса и получения материала для патолого-анатомического исследования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оценки локализации, распространенности опухолевого процесса и получения материала для патолого-анатомического исследования</w:t>
      </w:r>
    </w:p>
    <w:p>
      <w:pPr>
        <w:spacing w:after="58"/>
      </w:pPr>
      <w:r>
        <w:rPr>
          <w:b w:val="0"/>
          <w:i w:val="0"/>
        </w:rPr>
        <w:t>Рекомендуется пациентам с подозрением на РЛ проведение бронхологического исследования (фибробронхоскопии) при центральном расположении опухолевого узла в легком или периферическом расположении новообразования, но с наличием «дренирующего» бронха с целью оценки локализации, распространенности опухолевого процесса и получения материала для патолого-анатомического исследования биопсийного (операционного) материала (в том числе цитологического исследования).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выявлении неплоскоклеточного (в том числе, диморфного) НМРЛ рекомендовано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хроматографического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молекулярно-генетических и ИГХ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биохимического исследования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молекулярно-генетических и ИГХ исследований</w:t>
      </w:r>
    </w:p>
    <w:p>
      <w:pPr>
        <w:spacing w:after="58"/>
      </w:pPr>
      <w:r>
        <w:rPr>
          <w:b w:val="0"/>
          <w:i w:val="0"/>
        </w:rPr>
        <w:t>При выявлении неплоскоклеточного (в том числе, диморфного) НМРЛ рекомендовано проведение молекулярно-генетических и ИГХ исследований (гистологический или цитологический материал) на наличие активирующих мутаций вне зависимости от стадии: «обязательный объем тестирования» [мутации гена EGFR (18–21 экзоны), транслокации ALK (в том числе, методом ИГХ), транслокации ROS1 и мутации BRAF V600E].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результатам ПЭТ/КТ, в рассматриваемом случае, данных за регионарные и отдаленные метастазы не получено. Согласно классификации TNM (9-е издание, 2024 г.), клиническая стадия заболевания соответствует диагнозу Рак верхней доли правого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сТ1сN0M0, IA3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сТ1bN0M0, IA2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сТ1аN0M0, IA1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сТ1сN0M0, IA2 стадия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сТ1сN0M0, IA3 стадия</w:t>
      </w:r>
    </w:p>
    <w:p>
      <w:pPr>
        <w:spacing w:after="58"/>
      </w:pPr>
      <w:r>
        <w:rPr>
          <w:b w:val="0"/>
          <w:i w:val="0"/>
        </w:rPr>
        <w:t>Классификация немелкоклеточного рака легкого (НМРЛ) по системе TNM (9-е издание, 2024 г.). Т1с — размер опухоли от 2 до 3 см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(5)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 результатам обследования, при условии функциональной операбельности, данной пациентке показано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неоадъювантное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химиотерапевтическое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хирургическое лечение</w:t>
      </w:r>
    </w:p>
    <w:p>
      <w:pPr>
        <w:spacing w:after="58"/>
      </w:pPr>
      <w:r>
        <w:rPr>
          <w:b w:val="0"/>
          <w:i w:val="0"/>
        </w:rPr>
        <w:t>Пациентам с НМРЛ 0–IIIA стадии рекомендуется хирургический метод лечения при условии соблюдения требований к радикальной операции и функциональной операбельности.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стадию заболевания, данной пациентке показано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сублобарную резекцию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анатомическую резекцию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атипичную резекцию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анатомическую резекцию легкого с ипсилатеральной медиастинальной лимфодиссекцией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анатомическую резекцию легкого с ипсилатеральной медиастинальной лимфодиссекцией</w:t>
      </w:r>
    </w:p>
    <w:p>
      <w:pPr>
        <w:spacing w:after="58"/>
      </w:pPr>
      <w:r>
        <w:rPr>
          <w:b w:val="0"/>
          <w:i w:val="0"/>
        </w:rPr>
        <w:t>Пациентам с НМРЛ 0–IIIA стадии рекомендуется хирургический метод лечения при условии соблюдения требований к радикальной операции и функциональной операбельности. Стандартный объём операции включает анатомическую резекцию легкого (лобэктомия, билобэктомия) с ипсилатеральной медиастинальной лимфодиссекцией.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радикального хирургического лечения (R0) c патоморфологической I стадией НМРЛ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рекомендована только химиотерапия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химиотерапия и лучевая терапия не рекомендованы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рекомендована 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рекомендована только лучевая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химиотерапия и лучевая терапия не рекомендованы</w:t>
      </w:r>
    </w:p>
    <w:p>
      <w:pPr>
        <w:spacing w:after="58"/>
      </w:pPr>
      <w:r>
        <w:rPr>
          <w:b w:val="0"/>
          <w:i w:val="0"/>
        </w:rPr>
        <w:t>Больным с I стадией адъювантная ХТ и ЛТ не рекомендованы.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Таргетная терапия в рассматриваемом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назначается по желанию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рекомендуется в комбинации с ХТ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обязательна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рекомендуется</w:t>
      </w:r>
    </w:p>
    <w:p>
      <w:pPr>
        <w:spacing w:after="58"/>
      </w:pPr>
      <w:r>
        <w:rPr>
          <w:b w:val="0"/>
          <w:i w:val="0"/>
        </w:rPr>
        <w:t>Пациентам с Ib–IIIA стадиями при выявлении активирующих мутаций гена _EGFR_ (19 и 21 экзоны) рекомендуется адъювантная таргетная терапия ингибитором тирозинкиназы EGFR третьего поколения осимертинибом с целью улучшения безрецидивной выживаемости. При выявлении активирующих мутаций гена EGFR (19 и 21 экзоны) адъювантная терапия осимертинибом позволяет увеличить безрецидивную выживаемость независимо от того, была ли проведена адъювантная ХТ до назначения осимертиниба, и может быть назначена как после операции, так и после проведения адъювантной ХТ.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Возможность выполнения и объем операции определяются распространенностью опухолевого процесса (критерии Т и N), функциональным состоянием пациента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материально-технической оснащенностью клиники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решением мультидисциплинарного консилиума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антропометрическими показателями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гистологической формой опухоли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гистологической формой опухоли</w:t>
      </w:r>
    </w:p>
    <w:p>
      <w:pPr>
        <w:spacing w:after="58"/>
      </w:pPr>
      <w:r>
        <w:rPr>
          <w:b w:val="0"/>
          <w:i w:val="0"/>
        </w:rPr>
        <w:t>Возможность выполнения и объем операции определяются распространенностью опухолевого процесса (критерии Т и N), гистологической формой опухоли и функциональным состоянием пациента.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Пациенты с IIIB (T3N2) стадией НМРЛ считаются потенциально операбельными при возможности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 учетом функциональных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удалить большую часть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R1-резекции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R0-резекции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R2-резекции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R0-резекции</w:t>
      </w:r>
    </w:p>
    <w:p>
      <w:pPr>
        <w:spacing w:after="58"/>
      </w:pPr>
      <w:r>
        <w:rPr>
          <w:b w:val="0"/>
          <w:i w:val="0"/>
        </w:rPr>
        <w:t>Пациенты с IIIB (T3N2) стадией НМРЛ читаются потенциально операбельными (при возможности R0-резекции) с учетом функциональных показателей. При полноценном предоперационном обследовании доля пациентов, у которых интраоперационно процесс признается нерезектабельным, не превышает 5–10%.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опухолей с активирующими мутациями _EGFR, ALK/ROS1_ характерна высокая частота метастазирования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мягкие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головной мозг</w:t>
      </w:r>
    </w:p>
    <w:p>
      <w:pPr>
        <w:spacing w:after="58"/>
      </w:pPr>
      <w:r>
        <w:rPr>
          <w:b w:val="0"/>
          <w:i w:val="0"/>
        </w:rPr>
        <w:t>Для опухолей с активирующими мутациями _EGFR, ALK/ROS1_ характерна высокая частота метастазирования в головной мозг, что определяет необходимость проведения КТ/МРТ головного мозга с контрастным усилением до начала и в процессе противоопухолевого лечения.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По классификации немелкоклеточного рака легкого (НМРЛ) по системе TNM (8-е издание, 2017 г.) опухоль Т3N3M0 соответствует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IIIC</w:t>
      </w:r>
    </w:p>
    <w:p>
      <w:pPr>
        <w:spacing w:after="58"/>
      </w:pPr>
      <w:r>
        <w:rPr>
          <w:b w:val="0"/>
          <w:i w:val="0"/>
        </w:rPr>
        <w:t>Классификация немелкоклеточного рака легкого (НМРЛ) по системе TNM (8-е издание, 2017 г.)</w:t>
      </w:r>
    </w:p>
    <w:p>
      <w:pPr>
        <w:spacing w:after="58"/>
      </w:pPr>
      <w:r>
        <w:rPr>
          <w:b w:val="0"/>
          <w:i w:val="0"/>
        </w:rPr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Злокачественное новообразование бронхов и легкого, 2025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Торакальная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0_5_25/" TargetMode="External"/><Relationship Id="rId21" Type="http://schemas.openxmlformats.org/officeDocument/2006/relationships/hyperlink" Target="https://library.mededtech.ru/rest/documents/KP30_5_25/#list_item_tr1k6o" TargetMode="External"/><Relationship Id="rId22" Type="http://schemas.openxmlformats.org/officeDocument/2006/relationships/hyperlink" Target="https://library.mededtech.ru/rest/documents/KP30_5_25/#list_item_sh0ucc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30_5_25/#list_item_6n55c2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30_5_25/#paragraph_9ofo2a" TargetMode="External"/><Relationship Id="rId27" Type="http://schemas.openxmlformats.org/officeDocument/2006/relationships/hyperlink" Target="https://library.mededtech.ru/rest/documents/KP30_5_25/#paragraph_b23ktp" TargetMode="External"/><Relationship Id="rId28" Type="http://schemas.openxmlformats.org/officeDocument/2006/relationships/hyperlink" Target="https://library.mededtech.ru/rest/documents/KP30_5_25/#paragraph_vo4q1k" TargetMode="External"/><Relationship Id="rId29" Type="http://schemas.openxmlformats.org/officeDocument/2006/relationships/hyperlink" Target="https://library.mededtech.ru/rest/documents/KP30_5_25/#paragraph_ra07bf" TargetMode="External"/><Relationship Id="rId30" Type="http://schemas.openxmlformats.org/officeDocument/2006/relationships/hyperlink" Target="https://library.mededtech.ru/rest/documents/KP30_5_25/#tabl1" TargetMode="External"/><Relationship Id="rId31" Type="http://schemas.openxmlformats.org/officeDocument/2006/relationships/hyperlink" Target="https://library.mededtech.ru/rest/documents/KP30_5_25/#paragraph_pdfji2" TargetMode="External"/><Relationship Id="rId32" Type="http://schemas.openxmlformats.org/officeDocument/2006/relationships/hyperlink" Target="https://library.mededtech.ru/rest/documents/KP30_5_25/#paragraph_8j4i63" TargetMode="External"/><Relationship Id="rId33" Type="http://schemas.openxmlformats.org/officeDocument/2006/relationships/hyperlink" Target="https://library.mededtech.ru/rest/documents/KP30_5_25/#list_item_8h1bf1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KP30_5_25/#tabl8" TargetMode="External"/><Relationship Id="rId36" Type="http://schemas.openxmlformats.org/officeDocument/2006/relationships/hyperlink" Target="https://library.mededtech.ru/rest/documents/KP30_5_25/#paragraph_oblvbk" TargetMode="External"/><Relationship Id="rId37" Type="http://schemas.openxmlformats.org/officeDocument/2006/relationships/hyperlink" Target="https://library.mededtech.ru/rest/documents/KP30_5_25/#list_item_phugr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